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 w:firstLine="850" w:left="0"/>
      </w:pPr>
      <w:r>
        <w:t>С 1 октября 2023 года техническое задание на товары  в обязательном порядке подается в структурированном виде. Для работ и услуг возможность подачи в структурированном виде так же есть, но указание характеристик не обязательно.</w:t>
      </w:r>
    </w:p>
    <w:p w14:paraId="02000000">
      <w:pPr>
        <w:pStyle w:val="Style_1"/>
        <w:ind w:firstLine="850" w:left="0"/>
      </w:pPr>
      <w:r>
        <w:t xml:space="preserve">Для позиций, которые есть в справочнике КТРУ функционал останется тот же, только добавиться необходимость указания «инструкции к заполнению» </w:t>
      </w:r>
      <w:r>
        <w:t>(</w:t>
      </w:r>
      <w:r>
        <w:rPr>
          <w:b w:val="0"/>
        </w:rPr>
        <w:t>и</w:t>
      </w:r>
      <w:r>
        <w:t>нструкция содержит информацию как поставщику необходимо рассмотреть данную характеристику)</w:t>
      </w:r>
      <w:r>
        <w:t xml:space="preserve"> это поле необходимо будет заполнить для каждой характеристики КТРУ из справочника (рис.1).</w:t>
      </w:r>
    </w:p>
    <w:p w14:paraId="03000000">
      <w:pPr>
        <w:pStyle w:val="Style_1"/>
      </w:pPr>
      <w:r>
        <w:drawing>
          <wp:inline>
            <wp:extent cx="6264372" cy="3155358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31553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  <w:ind/>
        <w:jc w:val="center"/>
      </w:pPr>
      <w:r>
        <w:t>рис.1</w:t>
      </w:r>
    </w:p>
    <w:p w14:paraId="05000000">
      <w:pPr>
        <w:pStyle w:val="Style_1"/>
        <w:ind w:firstLine="709" w:left="0"/>
      </w:pPr>
      <w:r>
        <w:t xml:space="preserve">Для товаров, которых нет в справочнике КТРУ необходимо будет добавлять строчки характеристик вручную (рис.2). </w:t>
      </w:r>
    </w:p>
    <w:p w14:paraId="06000000">
      <w:pPr>
        <w:pStyle w:val="Style_1"/>
      </w:pPr>
      <w:r>
        <w:drawing>
          <wp:inline>
            <wp:extent cx="6264372" cy="3460062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3460062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</w:p>
    <w:p w14:paraId="07000000">
      <w:pPr>
        <w:pStyle w:val="Style_1"/>
        <w:ind/>
        <w:jc w:val="center"/>
      </w:pPr>
      <w:r>
        <w:t xml:space="preserve">рис.2 </w:t>
      </w:r>
    </w:p>
    <w:p w14:paraId="08000000">
      <w:pPr>
        <w:pStyle w:val="Style_1"/>
        <w:numPr>
          <w:numId w:val="1"/>
        </w:numPr>
      </w:pPr>
      <w:r>
        <w:t>В созданной заявке указываем тип (товар, работа или услуга)(рис.3).</w:t>
      </w:r>
    </w:p>
    <w:p w14:paraId="09000000">
      <w:pPr>
        <w:pStyle w:val="Style_1"/>
      </w:pPr>
      <w:r>
        <w:drawing>
          <wp:inline>
            <wp:extent cx="6254885" cy="1235412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254885" cy="12354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pStyle w:val="Style_1"/>
        <w:ind/>
        <w:jc w:val="center"/>
      </w:pPr>
      <w:r>
        <w:t>рис.3</w:t>
      </w:r>
    </w:p>
    <w:p w14:paraId="0B000000">
      <w:pPr>
        <w:pStyle w:val="Style_1"/>
      </w:pPr>
    </w:p>
    <w:p w14:paraId="0C000000">
      <w:pPr>
        <w:pStyle w:val="Style_1"/>
        <w:rPr>
          <w:color w:val="C0504D"/>
        </w:rPr>
      </w:pPr>
      <w:r>
        <w:t>*</w:t>
      </w:r>
      <w:r>
        <w:rPr>
          <w:color w:val="C0504D"/>
        </w:rPr>
        <w:t>если вначале не указать тип закупки, то при заполнении характеристик  система выдаст предупреждение и потребует указать тип закупки, когда вы буде</w:t>
      </w:r>
      <w:r>
        <w:rPr>
          <w:color w:val="C0504D"/>
        </w:rPr>
        <w:t>те выбирать инструкцию по заполнению п.11(рис.4)</w:t>
      </w:r>
    </w:p>
    <w:p w14:paraId="0D000000">
      <w:pPr>
        <w:pStyle w:val="Style_1"/>
      </w:pPr>
      <w:r>
        <w:drawing>
          <wp:inline>
            <wp:extent cx="5719863" cy="1653702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719863" cy="16537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pStyle w:val="Style_1"/>
        <w:ind/>
        <w:jc w:val="center"/>
      </w:pPr>
      <w:r>
        <w:t>рис.4</w:t>
      </w:r>
    </w:p>
    <w:p w14:paraId="0F000000">
      <w:pPr>
        <w:pStyle w:val="Style_1"/>
        <w:numPr>
          <w:numId w:val="1"/>
        </w:numPr>
      </w:pPr>
      <w:r>
        <w:t>Добавляем строчку товара или подгружаем ее из Плана – графика (рис.5).</w:t>
      </w:r>
    </w:p>
    <w:p w14:paraId="10000000">
      <w:pPr>
        <w:pStyle w:val="Style_1"/>
      </w:pPr>
      <w:r>
        <w:drawing>
          <wp:inline>
            <wp:extent cx="6264371" cy="1506168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64371" cy="15061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00000">
      <w:pPr>
        <w:pStyle w:val="Style_1"/>
        <w:ind/>
        <w:jc w:val="center"/>
      </w:pPr>
      <w:r>
        <w:t>рис.5</w:t>
      </w:r>
    </w:p>
    <w:p w14:paraId="12000000">
      <w:pPr>
        <w:pStyle w:val="Style_1"/>
        <w:numPr>
          <w:numId w:val="1"/>
        </w:numPr>
      </w:pPr>
      <w:r>
        <w:t>Заходим в столбец Информация о характеристиках и КТРУ(рис.6).</w:t>
      </w:r>
    </w:p>
    <w:p w14:paraId="13000000">
      <w:pPr>
        <w:pStyle w:val="Style_1"/>
      </w:pPr>
      <w:r>
        <w:drawing>
          <wp:inline>
            <wp:extent cx="6264372" cy="216393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264372" cy="21639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>
      <w:pPr>
        <w:pStyle w:val="Style_1"/>
        <w:ind/>
        <w:jc w:val="center"/>
      </w:pPr>
      <w:r>
        <w:t>рис.6</w:t>
      </w:r>
    </w:p>
    <w:p w14:paraId="15000000">
      <w:pPr>
        <w:pStyle w:val="Style_1"/>
        <w:numPr>
          <w:numId w:val="1"/>
        </w:numPr>
      </w:pPr>
      <w:r>
        <w:t>Выбираем код ОКПД2 и единицу измерения из справочника (подгрузится из строки товара)(рис.7).</w:t>
      </w:r>
    </w:p>
    <w:p w14:paraId="16000000">
      <w:pPr>
        <w:pStyle w:val="Style_1"/>
      </w:pPr>
      <w:r>
        <w:drawing>
          <wp:inline>
            <wp:extent cx="6264371" cy="2166438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264371" cy="21664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00000">
      <w:pPr>
        <w:pStyle w:val="Style_1"/>
        <w:ind/>
        <w:jc w:val="center"/>
      </w:pPr>
      <w:r>
        <w:t>рис.7</w:t>
      </w:r>
    </w:p>
    <w:p w14:paraId="18000000">
      <w:pPr>
        <w:pStyle w:val="Style_1"/>
        <w:numPr>
          <w:numId w:val="1"/>
        </w:numPr>
      </w:pPr>
      <w:r>
        <w:t>Добавляем строчку в таблицу ниже по кнопке добавить(рис.8).</w:t>
      </w:r>
    </w:p>
    <w:p w14:paraId="19000000">
      <w:pPr>
        <w:pStyle w:val="Style_1"/>
      </w:pPr>
      <w:r>
        <w:drawing>
          <wp:inline>
            <wp:extent cx="6264372" cy="2275133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264372" cy="22751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pStyle w:val="Style_1"/>
        <w:ind/>
        <w:jc w:val="center"/>
      </w:pPr>
      <w:r>
        <w:t>рис.8</w:t>
      </w:r>
    </w:p>
    <w:p w14:paraId="1B000000">
      <w:pPr>
        <w:pStyle w:val="Style_1"/>
        <w:numPr>
          <w:numId w:val="1"/>
        </w:numPr>
      </w:pPr>
      <w:r>
        <w:t xml:space="preserve"> Переходим в столбец характеристика по двойному клику мышью на поле (рис.9).</w:t>
      </w:r>
    </w:p>
    <w:p w14:paraId="1C000000">
      <w:pPr>
        <w:pStyle w:val="Style_1"/>
      </w:pPr>
      <w:r>
        <w:drawing>
          <wp:inline>
            <wp:extent cx="6264371" cy="2693679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264371" cy="26936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pStyle w:val="Style_1"/>
        <w:ind/>
        <w:jc w:val="center"/>
      </w:pPr>
      <w:r>
        <w:t>рис.9</w:t>
      </w:r>
    </w:p>
    <w:p w14:paraId="1E000000">
      <w:pPr>
        <w:pStyle w:val="Style_1"/>
        <w:numPr>
          <w:numId w:val="1"/>
        </w:numPr>
      </w:pPr>
      <w:r>
        <w:t>В графе «Способ указания характеристики» выбираем значение «</w:t>
      </w:r>
      <w:r>
        <w:t>Используется текстовая форма» (указано по умолчанию)(рис.10).</w:t>
      </w:r>
    </w:p>
    <w:p w14:paraId="1F000000">
      <w:pPr>
        <w:pStyle w:val="Style_1"/>
      </w:pPr>
      <w:r>
        <w:drawing>
          <wp:inline>
            <wp:extent cx="6264372" cy="2480179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264372" cy="24801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00000">
      <w:pPr>
        <w:pStyle w:val="Style_1"/>
        <w:ind/>
        <w:jc w:val="center"/>
      </w:pPr>
      <w:r>
        <w:t>рис.10</w:t>
      </w:r>
    </w:p>
    <w:p w14:paraId="21000000">
      <w:pPr>
        <w:pStyle w:val="Style_1"/>
        <w:numPr>
          <w:numId w:val="1"/>
        </w:numPr>
      </w:pPr>
      <w:r>
        <w:t>Для графы «Наименование характеристики» выбираем значение из справочника (рис.10), если в справочнике нет значения его необходимо создать используя соответствующую кнопку на панели инструментов окна справочника (рис.11).</w:t>
      </w:r>
    </w:p>
    <w:p w14:paraId="22000000">
      <w:pPr>
        <w:pStyle w:val="Style_1"/>
      </w:pPr>
      <w:r>
        <w:drawing>
          <wp:inline>
            <wp:extent cx="6264372" cy="2351184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264372" cy="23511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00000">
      <w:pPr>
        <w:pStyle w:val="Style_1"/>
        <w:ind/>
        <w:jc w:val="center"/>
      </w:pPr>
      <w:r>
        <w:t>рис.11</w:t>
      </w:r>
    </w:p>
    <w:p w14:paraId="24000000">
      <w:pPr>
        <w:pStyle w:val="Style_1"/>
      </w:pPr>
      <w:r>
        <w:t>Позиция должна содержать (рис.12) :</w:t>
      </w:r>
    </w:p>
    <w:p w14:paraId="25000000">
      <w:pPr>
        <w:pStyle w:val="Style_1"/>
        <w:numPr>
          <w:numId w:val="2"/>
        </w:numPr>
      </w:pPr>
      <w:r>
        <w:t>«Наименование характеристики»  текстовое поле вводится вручную;</w:t>
      </w:r>
    </w:p>
    <w:p w14:paraId="26000000">
      <w:pPr>
        <w:pStyle w:val="Style_1"/>
        <w:numPr>
          <w:numId w:val="3"/>
        </w:numPr>
      </w:pPr>
      <w:r>
        <w:t>«Тип характеристики» поле выбирается из справочника,характеристика может быть «качественная» или «количественная» (для количественной нужно заполнить единицу измерения)</w:t>
      </w:r>
      <w:r>
        <w:t>;</w:t>
      </w:r>
    </w:p>
    <w:p w14:paraId="27000000">
      <w:pPr>
        <w:pStyle w:val="Style_1"/>
        <w:numPr>
          <w:numId w:val="3"/>
        </w:numPr>
      </w:pPr>
      <w:r>
        <w:t xml:space="preserve"> ОКПД2 его нужно указать тот, что указывается в строке товара.</w:t>
      </w:r>
    </w:p>
    <w:p w14:paraId="28000000">
      <w:pPr>
        <w:pStyle w:val="Style_1"/>
      </w:pPr>
      <w:r>
        <w:drawing>
          <wp:inline>
            <wp:extent cx="6264372" cy="2248592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6264372" cy="224859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9000000">
      <w:pPr>
        <w:pStyle w:val="Style_1"/>
        <w:ind/>
        <w:jc w:val="center"/>
      </w:pPr>
      <w:r>
        <w:t>рис.12</w:t>
      </w:r>
    </w:p>
    <w:p w14:paraId="2A000000">
      <w:pPr>
        <w:pStyle w:val="Style_1"/>
      </w:pPr>
    </w:p>
    <w:p w14:paraId="2B000000">
      <w:pPr>
        <w:pStyle w:val="Style_1"/>
        <w:numPr>
          <w:numId w:val="1"/>
        </w:numPr>
      </w:pPr>
      <w:r>
        <w:t>Далее заполняется показатели качественной или количественной характеристики:</w:t>
      </w:r>
    </w:p>
    <w:p w14:paraId="2C000000">
      <w:pPr>
        <w:pStyle w:val="Style_1"/>
      </w:pPr>
      <w:r>
        <w:t>В случае качественной характеристики указывается т</w:t>
      </w:r>
      <w:r>
        <w:t>екстовое описание значения качественной характеристики(рис.13).</w:t>
      </w:r>
    </w:p>
    <w:p w14:paraId="2D000000">
      <w:pPr>
        <w:pStyle w:val="Style_1"/>
      </w:pPr>
      <w:r>
        <w:drawing>
          <wp:inline>
            <wp:extent cx="6264372" cy="2229172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6264372" cy="22291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pStyle w:val="Style_1"/>
        <w:ind/>
        <w:jc w:val="center"/>
      </w:pPr>
      <w:r>
        <w:t>рис.13</w:t>
      </w:r>
    </w:p>
    <w:p w14:paraId="2F000000">
      <w:pPr>
        <w:pStyle w:val="Style_1"/>
        <w:ind w:firstLine="850" w:left="0"/>
      </w:pPr>
      <w:r>
        <w:t>В случае количественной характеристики указываются:</w:t>
      </w:r>
    </w:p>
    <w:p w14:paraId="30000000">
      <w:pPr>
        <w:pStyle w:val="Style_1"/>
      </w:pPr>
      <w:r>
        <w:t>Способ указания характеристики: – выбирается из справочника «диапазон значений» или «конкретное значение»(рис.14).</w:t>
      </w:r>
    </w:p>
    <w:p w14:paraId="31000000">
      <w:pPr>
        <w:pStyle w:val="Style_1"/>
      </w:pPr>
      <w:r>
        <w:drawing>
          <wp:inline>
            <wp:extent cx="6264372" cy="2249687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6264372" cy="22496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2000000">
      <w:pPr>
        <w:pStyle w:val="Style_1"/>
        <w:ind/>
        <w:jc w:val="center"/>
      </w:pPr>
      <w:r>
        <w:t>рис.14</w:t>
      </w:r>
    </w:p>
    <w:p w14:paraId="33000000">
      <w:pPr>
        <w:pStyle w:val="Style_1"/>
      </w:pPr>
    </w:p>
    <w:p w14:paraId="34000000">
      <w:pPr>
        <w:pStyle w:val="Style_1"/>
        <w:ind w:firstLine="709" w:left="0"/>
      </w:pPr>
      <w:r>
        <w:t>В случае «конкретного значения» указывается значение в поле «Конкретное значение</w:t>
      </w:r>
      <w:r>
        <w:t>»(рис.15).</w:t>
      </w:r>
    </w:p>
    <w:p w14:paraId="35000000">
      <w:pPr>
        <w:pStyle w:val="Style_1"/>
      </w:pPr>
      <w:r>
        <w:drawing>
          <wp:inline>
            <wp:extent cx="6264371" cy="2210594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6264371" cy="22105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00000">
      <w:pPr>
        <w:pStyle w:val="Style_1"/>
        <w:ind/>
        <w:jc w:val="center"/>
      </w:pPr>
      <w:r>
        <w:t>рис. 15</w:t>
      </w:r>
    </w:p>
    <w:p w14:paraId="37000000">
      <w:pPr>
        <w:pStyle w:val="Style_1"/>
        <w:ind w:firstLine="850" w:left="0"/>
      </w:pPr>
      <w:r>
        <w:t>В случае Диапазона значений  указывается минимальное и максимальное значение характеристики(рис.16).</w:t>
      </w:r>
    </w:p>
    <w:p w14:paraId="38000000">
      <w:pPr>
        <w:pStyle w:val="Style_1"/>
      </w:pPr>
      <w:r>
        <w:drawing>
          <wp:inline>
            <wp:extent cx="6264372" cy="2232694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6264372" cy="22326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9000000">
      <w:pPr>
        <w:pStyle w:val="Style_1"/>
        <w:ind/>
        <w:jc w:val="center"/>
      </w:pPr>
      <w:r>
        <w:t>рис.16</w:t>
      </w:r>
    </w:p>
    <w:p w14:paraId="3A000000">
      <w:pPr>
        <w:pStyle w:val="Style_1"/>
        <w:ind w:firstLine="850" w:left="0"/>
      </w:pPr>
      <w:r>
        <w:t xml:space="preserve"> Также можно поставить галочку в соответствующем чек боксе для того, чтобы не указывать верхнюю или нижнюю границу диапазона(рис.17).</w:t>
      </w:r>
    </w:p>
    <w:p w14:paraId="3B000000">
      <w:pPr>
        <w:pStyle w:val="Style_1"/>
      </w:pPr>
    </w:p>
    <w:p w14:paraId="3C000000">
      <w:pPr>
        <w:pStyle w:val="Style_1"/>
      </w:pPr>
      <w:r>
        <w:drawing>
          <wp:inline>
            <wp:extent cx="6264372" cy="2235533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6264372" cy="22355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00000">
      <w:pPr>
        <w:pStyle w:val="Style_1"/>
        <w:ind/>
        <w:jc w:val="center"/>
      </w:pPr>
      <w:r>
        <w:t>рис.17</w:t>
      </w:r>
    </w:p>
    <w:p w14:paraId="3E000000">
      <w:pPr>
        <w:pStyle w:val="Style_1"/>
      </w:pPr>
    </w:p>
    <w:p w14:paraId="3F000000">
      <w:pPr>
        <w:pStyle w:val="Style_1"/>
      </w:pPr>
    </w:p>
    <w:p w14:paraId="40000000">
      <w:pPr>
        <w:pStyle w:val="Style_1"/>
        <w:numPr>
          <w:numId w:val="1"/>
        </w:numPr>
      </w:pPr>
      <w:r>
        <w:t xml:space="preserve"> Далее сохраняем характеристику(рис.18).</w:t>
      </w:r>
    </w:p>
    <w:p w14:paraId="41000000">
      <w:pPr>
        <w:pStyle w:val="Style_1"/>
      </w:pPr>
      <w:r>
        <w:drawing>
          <wp:inline>
            <wp:extent cx="6264372" cy="2574925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6264372" cy="25749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00000">
      <w:pPr>
        <w:pStyle w:val="Style_1"/>
        <w:ind/>
        <w:jc w:val="center"/>
      </w:pPr>
      <w:r>
        <w:t>рис.18</w:t>
      </w:r>
    </w:p>
    <w:p w14:paraId="43000000">
      <w:pPr>
        <w:pStyle w:val="Style_1"/>
        <w:numPr>
          <w:numId w:val="1"/>
        </w:numPr>
      </w:pPr>
      <w:r>
        <w:t xml:space="preserve">В колонке инструкция к заполнению </w:t>
      </w:r>
      <w:r>
        <w:t>(рис.19)</w:t>
      </w:r>
      <w:r>
        <w:t xml:space="preserve">  выбираем из справочника необходимую инструкцию к заполнению, список инструкций зависит от типа закупки</w:t>
      </w:r>
      <w:r>
        <w:t>(рис.20)</w:t>
      </w:r>
      <w:r>
        <w:t>, добавить свою инструкцию нельзя только выбрать существующую.</w:t>
      </w:r>
    </w:p>
    <w:p w14:paraId="44000000">
      <w:pPr>
        <w:pStyle w:val="Style_1"/>
      </w:pPr>
      <w:r>
        <w:drawing>
          <wp:inline>
            <wp:extent cx="6264371" cy="2176856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6264371" cy="21768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5000000">
      <w:pPr>
        <w:pStyle w:val="Style_1"/>
        <w:ind/>
        <w:jc w:val="center"/>
      </w:pPr>
      <w:r>
        <w:t>рис.19</w:t>
      </w:r>
    </w:p>
    <w:p w14:paraId="46000000">
      <w:pPr>
        <w:pStyle w:val="Style_1"/>
      </w:pPr>
      <w:r>
        <w:drawing>
          <wp:inline>
            <wp:extent cx="6264372" cy="1865459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6264372" cy="18654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00000">
      <w:pPr>
        <w:pStyle w:val="Style_1"/>
        <w:ind/>
        <w:jc w:val="center"/>
      </w:pPr>
      <w:r>
        <w:t>рис.20</w:t>
      </w:r>
    </w:p>
    <w:p w14:paraId="48000000">
      <w:pPr>
        <w:pStyle w:val="Style_1"/>
      </w:pPr>
    </w:p>
    <w:p w14:paraId="49000000">
      <w:pPr>
        <w:pStyle w:val="Style_1"/>
        <w:numPr>
          <w:numId w:val="1"/>
        </w:numPr>
      </w:pPr>
      <w:r>
        <w:t>После этого можно переходить к заполнению следующей характеристики, для этого повторите действия с п.1 по 11, если больше характеристик не требуется нажмите на кнопку сохранить в левом верхнем углу(рис.21).</w:t>
      </w:r>
    </w:p>
    <w:p w14:paraId="4A000000">
      <w:pPr>
        <w:pStyle w:val="Style_1"/>
      </w:pPr>
      <w:r>
        <w:drawing>
          <wp:inline>
            <wp:extent cx="6264372" cy="2495173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6264372" cy="24951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B000000">
      <w:pPr>
        <w:pStyle w:val="Style_1"/>
        <w:ind/>
        <w:jc w:val="center"/>
      </w:pPr>
      <w:r>
        <w:t>рис.21</w:t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Endnote"/>
    <w:link w:val="Style_3_ch"/>
    <w:pPr>
      <w:ind w:firstLine="851" w:left="0"/>
      <w:jc w:val="both"/>
    </w:pPr>
    <w:rPr>
      <w:rFonts w:ascii="XO Thames" w:hAnsi="XO Thames"/>
      <w:sz w:val="22"/>
    </w:rPr>
  </w:style>
  <w:style w:styleId="Style_3_ch" w:type="character">
    <w:name w:val="Endnote"/>
    <w:link w:val="Style_3"/>
    <w:rPr>
      <w:rFonts w:ascii="XO Thames" w:hAnsi="XO Thames"/>
      <w:sz w:val="22"/>
    </w:rPr>
  </w:style>
  <w:style w:styleId="Style_4" w:type="paragraph">
    <w:name w:val="toc 4"/>
    <w:next w:val="Style_1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1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1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8" Target="numbering.xml" Type="http://schemas.openxmlformats.org/officeDocument/2006/relationships/numbering"/>
  <Relationship Id="rId27" Target="theme/theme1.xml" Type="http://schemas.openxmlformats.org/officeDocument/2006/relationships/theme"/>
  <Relationship Id="rId23" Target="settings.xml" Type="http://schemas.openxmlformats.org/officeDocument/2006/relationships/settings"/>
  <Relationship Id="rId22" Target="fontTable.xml" Type="http://schemas.openxmlformats.org/officeDocument/2006/relationships/fontTable"/>
  <Relationship Id="rId25" Target="stylesWithEffects.xml" Type="http://schemas.microsoft.com/office/2007/relationships/stylesWithEffects"/>
  <Relationship Id="rId21" Target="media/21.png" Type="http://schemas.openxmlformats.org/officeDocument/2006/relationships/image"/>
  <Relationship Id="rId13" Target="media/13.png" Type="http://schemas.openxmlformats.org/officeDocument/2006/relationships/image"/>
  <Relationship Id="rId24" Target="styles.xml" Type="http://schemas.openxmlformats.org/officeDocument/2006/relationships/styles"/>
  <Relationship Id="rId11" Target="media/11.png" Type="http://schemas.openxmlformats.org/officeDocument/2006/relationships/image"/>
  <Relationship Id="rId18" Target="media/18.png" Type="http://schemas.openxmlformats.org/officeDocument/2006/relationships/image"/>
  <Relationship Id="rId17" Target="media/17.png" Type="http://schemas.openxmlformats.org/officeDocument/2006/relationships/image"/>
  <Relationship Id="rId10" Target="media/10.png" Type="http://schemas.openxmlformats.org/officeDocument/2006/relationships/image"/>
  <Relationship Id="rId26" Target="webSettings.xml" Type="http://schemas.openxmlformats.org/officeDocument/2006/relationships/webSettings"/>
  <Relationship Id="rId15" Target="media/15.png" Type="http://schemas.openxmlformats.org/officeDocument/2006/relationships/image"/>
  <Relationship Id="rId9" Target="media/9.png" Type="http://schemas.openxmlformats.org/officeDocument/2006/relationships/image"/>
  <Relationship Id="rId20" Target="media/20.png" Type="http://schemas.openxmlformats.org/officeDocument/2006/relationships/image"/>
  <Relationship Id="rId19" Target="media/19.png" Type="http://schemas.openxmlformats.org/officeDocument/2006/relationships/image"/>
  <Relationship Id="rId8" Target="media/8.png" Type="http://schemas.openxmlformats.org/officeDocument/2006/relationships/image"/>
  <Relationship Id="rId7" Target="media/7.png" Type="http://schemas.openxmlformats.org/officeDocument/2006/relationships/image"/>
  <Relationship Id="rId14" Target="media/14.png" Type="http://schemas.openxmlformats.org/officeDocument/2006/relationships/image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16" Target="media/16.png" Type="http://schemas.openxmlformats.org/officeDocument/2006/relationships/image"/>
  <Relationship Id="rId12" Target="media/12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MyOffice-CoreFramework-Linux/29-1028.734.7326.662.0@DESKTOP-CASSIOPEIA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2023-10-02T14:17:12Z</dcterms:modified>
</cp:coreProperties>
</file>